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2B" w:rsidRPr="00B3739B" w:rsidRDefault="0050232B" w:rsidP="0050232B">
      <w:r w:rsidRPr="00B3739B">
        <w:rPr>
          <w:b/>
        </w:rPr>
        <w:t>Course Description and Syllabus</w:t>
      </w:r>
    </w:p>
    <w:p w:rsidR="0050232B" w:rsidRDefault="0050232B" w:rsidP="0050232B">
      <w:r>
        <w:t xml:space="preserve"> </w:t>
      </w:r>
    </w:p>
    <w:p w:rsidR="0050232B" w:rsidRPr="00C02130" w:rsidRDefault="0050232B" w:rsidP="0050232B">
      <w:pPr>
        <w:rPr>
          <w:b/>
        </w:rPr>
      </w:pPr>
      <w:r w:rsidRPr="00C02130">
        <w:rPr>
          <w:b/>
        </w:rPr>
        <w:t>Course Information</w:t>
      </w:r>
    </w:p>
    <w:p w:rsidR="0050232B" w:rsidRDefault="0050232B" w:rsidP="0050232B">
      <w:r>
        <w:t xml:space="preserve">  </w:t>
      </w:r>
    </w:p>
    <w:p w:rsidR="0050232B" w:rsidRDefault="001409D6" w:rsidP="001E7147">
      <w:r>
        <w:t xml:space="preserve">BMS </w:t>
      </w:r>
      <w:r w:rsidR="00DB4BDF">
        <w:t xml:space="preserve">690 </w:t>
      </w:r>
      <w:proofErr w:type="gramStart"/>
      <w:r w:rsidR="00DB4BDF">
        <w:t>The</w:t>
      </w:r>
      <w:proofErr w:type="gramEnd"/>
      <w:r w:rsidR="00DB4BDF">
        <w:t xml:space="preserve"> Biology of Aging</w:t>
      </w:r>
    </w:p>
    <w:p w:rsidR="0050232B" w:rsidRDefault="0050232B" w:rsidP="0050232B"/>
    <w:p w:rsidR="0050232B" w:rsidRDefault="0050232B" w:rsidP="0050232B">
      <w:r>
        <w:t>Course description:</w:t>
      </w:r>
      <w:r w:rsidR="001409D6">
        <w:t xml:space="preserve"> </w:t>
      </w:r>
      <w:r w:rsidR="00DB4BDF" w:rsidRPr="00DB4BDF">
        <w:t xml:space="preserve">This course presents an in-depth analysis of the biology of aging. Topics will include: theories of aging, experimental models used to study of aging and longevity, impact of oxidative stress in cell and organ function, adaptive responses, the metabolic </w:t>
      </w:r>
      <w:r w:rsidR="00DB4BDF">
        <w:t>s</w:t>
      </w:r>
      <w:r w:rsidR="00DB4BDF" w:rsidRPr="00DB4BDF">
        <w:t>yndrome of aging, cellular senescence, genetic instability and potential therapeutic strategies for prolonging health</w:t>
      </w:r>
      <w:r w:rsidR="00DB4BDF">
        <w:t xml:space="preserve"> </w:t>
      </w:r>
      <w:r w:rsidR="00DB4BDF" w:rsidRPr="00DB4BDF">
        <w:t xml:space="preserve">span. </w:t>
      </w:r>
      <w:r>
        <w:t xml:space="preserve">  </w:t>
      </w:r>
    </w:p>
    <w:p w:rsidR="00DB4BDF" w:rsidRDefault="00DB4BDF" w:rsidP="0050232B"/>
    <w:p w:rsidR="0050232B" w:rsidRDefault="0050232B" w:rsidP="0050232B">
      <w:r>
        <w:t>Number of credit hours:</w:t>
      </w:r>
      <w:r w:rsidR="00DB4BDF">
        <w:t xml:space="preserve"> 2</w:t>
      </w:r>
    </w:p>
    <w:p w:rsidR="0050232B" w:rsidRDefault="0050232B" w:rsidP="0050232B">
      <w:r>
        <w:t xml:space="preserve">  </w:t>
      </w:r>
    </w:p>
    <w:p w:rsidR="0050232B" w:rsidRDefault="0050232B" w:rsidP="0050232B">
      <w:r>
        <w:t>Prerequisites (previous courses, knowledge, and skills):</w:t>
      </w:r>
      <w:r w:rsidR="001409D6">
        <w:t xml:space="preserve"> </w:t>
      </w:r>
      <w:r w:rsidR="001409D6" w:rsidRPr="00362278">
        <w:rPr>
          <w:highlight w:val="yellow"/>
        </w:rPr>
        <w:t>none</w:t>
      </w:r>
    </w:p>
    <w:p w:rsidR="0050232B" w:rsidRDefault="0050232B" w:rsidP="0050232B"/>
    <w:p w:rsidR="0050232B" w:rsidRDefault="0050232B" w:rsidP="0050232B">
      <w:r>
        <w:t xml:space="preserve">General Education requirements satisfied (if applicable): </w:t>
      </w:r>
      <w:r w:rsidR="00DB4BDF" w:rsidRPr="00362278">
        <w:rPr>
          <w:highlight w:val="yellow"/>
        </w:rPr>
        <w:t>none</w:t>
      </w:r>
      <w:r>
        <w:t xml:space="preserve"> </w:t>
      </w:r>
    </w:p>
    <w:p w:rsidR="0050232B" w:rsidRDefault="0050232B" w:rsidP="0050232B"/>
    <w:p w:rsidR="0050232B" w:rsidRDefault="0050232B" w:rsidP="0050232B"/>
    <w:p w:rsidR="0050232B" w:rsidRPr="005155C5" w:rsidRDefault="0050232B" w:rsidP="0050232B">
      <w:pPr>
        <w:rPr>
          <w:b/>
        </w:rPr>
      </w:pPr>
      <w:r w:rsidRPr="005155C5">
        <w:rPr>
          <w:b/>
        </w:rPr>
        <w:t>Faculty Information</w:t>
      </w:r>
    </w:p>
    <w:p w:rsidR="0050232B" w:rsidRDefault="0050232B" w:rsidP="0050232B">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310"/>
      </w:tblGrid>
      <w:tr w:rsidR="001409D6" w:rsidTr="006B04B2">
        <w:tc>
          <w:tcPr>
            <w:tcW w:w="4428" w:type="dxa"/>
          </w:tcPr>
          <w:p w:rsidR="001409D6" w:rsidRPr="006B04B2" w:rsidRDefault="00DB4BDF" w:rsidP="001409D6">
            <w:pPr>
              <w:rPr>
                <w:b/>
              </w:rPr>
            </w:pPr>
            <w:r>
              <w:rPr>
                <w:b/>
              </w:rPr>
              <w:t>Course Instructors</w:t>
            </w:r>
            <w:r w:rsidR="001409D6" w:rsidRPr="006B04B2">
              <w:rPr>
                <w:b/>
              </w:rPr>
              <w:t xml:space="preserve">: </w:t>
            </w:r>
          </w:p>
          <w:p w:rsidR="001409D6" w:rsidRDefault="00362278" w:rsidP="001409D6">
            <w:r>
              <w:t xml:space="preserve">Ron </w:t>
            </w:r>
            <w:proofErr w:type="spellStart"/>
            <w:r>
              <w:t>Korstanje</w:t>
            </w:r>
            <w:proofErr w:type="spellEnd"/>
          </w:p>
          <w:p w:rsidR="00362278" w:rsidRDefault="00362278" w:rsidP="001409D6">
            <w:r>
              <w:t>Aric Rogers</w:t>
            </w:r>
          </w:p>
        </w:tc>
        <w:tc>
          <w:tcPr>
            <w:tcW w:w="4428" w:type="dxa"/>
          </w:tcPr>
          <w:p w:rsidR="001409D6" w:rsidRPr="006B04B2" w:rsidRDefault="001409D6" w:rsidP="001409D6">
            <w:pPr>
              <w:rPr>
                <w:b/>
              </w:rPr>
            </w:pPr>
            <w:r w:rsidRPr="00362278">
              <w:rPr>
                <w:b/>
                <w:highlight w:val="yellow"/>
              </w:rPr>
              <w:t>Course Faculty:</w:t>
            </w:r>
            <w:r w:rsidRPr="006B04B2">
              <w:rPr>
                <w:b/>
              </w:rPr>
              <w:t xml:space="preserve"> </w:t>
            </w:r>
          </w:p>
          <w:p w:rsidR="001409D6" w:rsidRDefault="001409D6" w:rsidP="001409D6"/>
        </w:tc>
      </w:tr>
    </w:tbl>
    <w:p w:rsidR="0050232B" w:rsidRDefault="0050232B" w:rsidP="0050232B"/>
    <w:p w:rsidR="006B04B2" w:rsidRDefault="006B04B2" w:rsidP="0050232B">
      <w:pPr>
        <w:rPr>
          <w:b/>
        </w:rPr>
      </w:pPr>
    </w:p>
    <w:p w:rsidR="0050232B" w:rsidRPr="00C02130" w:rsidRDefault="0050232B" w:rsidP="0050232B">
      <w:pPr>
        <w:rPr>
          <w:b/>
        </w:rPr>
      </w:pPr>
      <w:r w:rsidRPr="00362278">
        <w:rPr>
          <w:b/>
          <w:highlight w:val="yellow"/>
        </w:rPr>
        <w:t>Instructional Materials and Methods</w:t>
      </w:r>
    </w:p>
    <w:p w:rsidR="0050232B" w:rsidRDefault="0050232B" w:rsidP="0050232B">
      <w:r>
        <w:t xml:space="preserve">  </w:t>
      </w:r>
    </w:p>
    <w:p w:rsidR="00362278" w:rsidRDefault="0050232B" w:rsidP="00362278">
      <w:r>
        <w:t xml:space="preserve"> </w:t>
      </w:r>
      <w:r w:rsidR="00362278">
        <w:t>Thursday class is a lecture/discussion about a specific topic and the following Tuesday, students will present papers to initiate class discussion about this topic.</w:t>
      </w:r>
      <w:r w:rsidR="00362278">
        <w:t xml:space="preserve"> </w:t>
      </w:r>
      <w:r w:rsidR="00362278" w:rsidRPr="00362278">
        <w:rPr>
          <w:highlight w:val="yellow"/>
        </w:rPr>
        <w:t>List textbooks or other materials that will be needed for the class.</w:t>
      </w:r>
    </w:p>
    <w:p w:rsidR="0050232B" w:rsidRDefault="0050232B" w:rsidP="0050232B"/>
    <w:p w:rsidR="0050232B" w:rsidRDefault="0050232B" w:rsidP="0050232B"/>
    <w:p w:rsidR="0050232B" w:rsidRDefault="0050232B" w:rsidP="006B04B2">
      <w:pPr>
        <w:widowControl w:val="0"/>
        <w:autoSpaceDE w:val="0"/>
        <w:autoSpaceDN w:val="0"/>
        <w:adjustRightInd w:val="0"/>
        <w:rPr>
          <w:rFonts w:cs="Times"/>
          <w:b/>
          <w:bCs/>
          <w:szCs w:val="48"/>
        </w:rPr>
      </w:pPr>
      <w:r w:rsidRPr="00DD4002">
        <w:rPr>
          <w:rFonts w:cs="Times"/>
          <w:b/>
          <w:bCs/>
          <w:szCs w:val="48"/>
        </w:rPr>
        <w:t>Course Goals:</w:t>
      </w:r>
    </w:p>
    <w:p w:rsidR="006B04B2" w:rsidRDefault="00362278" w:rsidP="006B04B2">
      <w:pPr>
        <w:widowControl w:val="0"/>
        <w:autoSpaceDE w:val="0"/>
        <w:autoSpaceDN w:val="0"/>
        <w:adjustRightInd w:val="0"/>
        <w:rPr>
          <w:rFonts w:cs="Times"/>
          <w:bCs/>
          <w:szCs w:val="48"/>
        </w:rPr>
      </w:pPr>
      <w:r w:rsidRPr="00362278">
        <w:rPr>
          <w:rFonts w:cs="Times"/>
          <w:bCs/>
          <w:szCs w:val="48"/>
        </w:rPr>
        <w:t>The goal of this course is to motivate an interest among graduate students for problems in biology of aging and to prepare them for the growing demand for future generations of aging researchers.</w:t>
      </w:r>
    </w:p>
    <w:p w:rsidR="00DD4002" w:rsidRDefault="00DD4002" w:rsidP="00362278">
      <w:pPr>
        <w:widowControl w:val="0"/>
        <w:autoSpaceDE w:val="0"/>
        <w:autoSpaceDN w:val="0"/>
        <w:adjustRightInd w:val="0"/>
        <w:rPr>
          <w:rFonts w:cs="Times"/>
          <w:bCs/>
          <w:szCs w:val="48"/>
        </w:rPr>
      </w:pPr>
    </w:p>
    <w:p w:rsidR="00362278" w:rsidRPr="006B04B2" w:rsidRDefault="00362278" w:rsidP="00362278">
      <w:pPr>
        <w:widowControl w:val="0"/>
        <w:autoSpaceDE w:val="0"/>
        <w:autoSpaceDN w:val="0"/>
        <w:adjustRightInd w:val="0"/>
        <w:rPr>
          <w:rFonts w:cs="Times"/>
          <w:szCs w:val="32"/>
        </w:rPr>
      </w:pPr>
      <w:bookmarkStart w:id="0" w:name="_GoBack"/>
      <w:bookmarkEnd w:id="0"/>
    </w:p>
    <w:p w:rsidR="0050232B" w:rsidRPr="0028610A" w:rsidRDefault="0050232B" w:rsidP="0050232B">
      <w:pPr>
        <w:rPr>
          <w:b/>
        </w:rPr>
      </w:pPr>
      <w:r w:rsidRPr="00362278">
        <w:rPr>
          <w:b/>
          <w:highlight w:val="yellow"/>
        </w:rPr>
        <w:t>Grading and Course Expectations</w:t>
      </w:r>
    </w:p>
    <w:p w:rsidR="00362278" w:rsidRDefault="00362278">
      <w:pPr>
        <w:spacing w:after="200" w:line="276" w:lineRule="auto"/>
        <w:rPr>
          <w:b/>
        </w:rPr>
      </w:pPr>
      <w:r>
        <w:rPr>
          <w:b/>
        </w:rPr>
        <w:br w:type="page"/>
      </w:r>
    </w:p>
    <w:p w:rsidR="0050232B" w:rsidRDefault="0050232B" w:rsidP="0050232B">
      <w:pPr>
        <w:rPr>
          <w:b/>
        </w:rPr>
      </w:pPr>
      <w:r w:rsidRPr="002D62FE">
        <w:rPr>
          <w:b/>
        </w:rPr>
        <w:lastRenderedPageBreak/>
        <w:t>Course Schedule</w:t>
      </w:r>
      <w:r>
        <w:rPr>
          <w:b/>
        </w:rPr>
        <w:t>:</w:t>
      </w:r>
    </w:p>
    <w:p w:rsidR="0050232B" w:rsidRDefault="0050232B" w:rsidP="0050232B">
      <w:pPr>
        <w:rPr>
          <w:b/>
          <w:szCs w:val="24"/>
        </w:rPr>
      </w:pPr>
    </w:p>
    <w:tbl>
      <w:tblPr>
        <w:tblStyle w:val="TableGrid"/>
        <w:tblW w:w="0" w:type="auto"/>
        <w:tblLook w:val="04A0" w:firstRow="1" w:lastRow="0" w:firstColumn="1" w:lastColumn="0" w:noHBand="0" w:noVBand="1"/>
      </w:tblPr>
      <w:tblGrid>
        <w:gridCol w:w="1138"/>
        <w:gridCol w:w="3061"/>
        <w:gridCol w:w="4431"/>
      </w:tblGrid>
      <w:tr w:rsidR="00362278" w:rsidTr="00462E1A">
        <w:tc>
          <w:tcPr>
            <w:tcW w:w="1165" w:type="dxa"/>
          </w:tcPr>
          <w:p w:rsidR="00362278" w:rsidRPr="00574A14" w:rsidRDefault="00362278" w:rsidP="00462E1A">
            <w:pPr>
              <w:rPr>
                <w:b/>
              </w:rPr>
            </w:pPr>
            <w:r w:rsidRPr="00574A14">
              <w:rPr>
                <w:b/>
              </w:rPr>
              <w:t>Week</w:t>
            </w:r>
          </w:p>
        </w:tc>
        <w:tc>
          <w:tcPr>
            <w:tcW w:w="3330" w:type="dxa"/>
          </w:tcPr>
          <w:p w:rsidR="00362278" w:rsidRPr="00574A14" w:rsidRDefault="00362278" w:rsidP="00462E1A">
            <w:pPr>
              <w:rPr>
                <w:b/>
              </w:rPr>
            </w:pPr>
            <w:r w:rsidRPr="00574A14">
              <w:rPr>
                <w:b/>
              </w:rPr>
              <w:t>Tuesday class</w:t>
            </w:r>
          </w:p>
        </w:tc>
        <w:tc>
          <w:tcPr>
            <w:tcW w:w="4855" w:type="dxa"/>
          </w:tcPr>
          <w:p w:rsidR="00362278" w:rsidRPr="00574A14" w:rsidRDefault="00362278" w:rsidP="00462E1A">
            <w:pPr>
              <w:rPr>
                <w:b/>
              </w:rPr>
            </w:pPr>
            <w:r w:rsidRPr="00574A14">
              <w:rPr>
                <w:b/>
              </w:rPr>
              <w:t>Thursday class</w:t>
            </w:r>
          </w:p>
        </w:tc>
      </w:tr>
      <w:tr w:rsidR="00362278" w:rsidTr="00462E1A">
        <w:tc>
          <w:tcPr>
            <w:tcW w:w="1165" w:type="dxa"/>
          </w:tcPr>
          <w:p w:rsidR="00362278" w:rsidRDefault="00362278" w:rsidP="00462E1A">
            <w:r>
              <w:t>1</w:t>
            </w:r>
          </w:p>
        </w:tc>
        <w:tc>
          <w:tcPr>
            <w:tcW w:w="3330" w:type="dxa"/>
          </w:tcPr>
          <w:p w:rsidR="00362278" w:rsidRDefault="00362278" w:rsidP="00462E1A">
            <w:r>
              <w:t>What is aging and why study it?</w:t>
            </w:r>
          </w:p>
        </w:tc>
        <w:tc>
          <w:tcPr>
            <w:tcW w:w="4855" w:type="dxa"/>
          </w:tcPr>
          <w:p w:rsidR="00362278" w:rsidRDefault="00362278" w:rsidP="00462E1A">
            <w:r>
              <w:t>Evolutionary perspective and theories of aging</w:t>
            </w:r>
          </w:p>
        </w:tc>
      </w:tr>
      <w:tr w:rsidR="00362278" w:rsidTr="00462E1A">
        <w:tc>
          <w:tcPr>
            <w:tcW w:w="1165" w:type="dxa"/>
          </w:tcPr>
          <w:p w:rsidR="00362278" w:rsidRDefault="00362278" w:rsidP="00462E1A">
            <w:r>
              <w:t>2</w:t>
            </w:r>
          </w:p>
        </w:tc>
        <w:tc>
          <w:tcPr>
            <w:tcW w:w="3330" w:type="dxa"/>
          </w:tcPr>
          <w:p w:rsidR="00362278" w:rsidRDefault="00362278" w:rsidP="00462E1A">
            <w:r>
              <w:t>Journal club</w:t>
            </w:r>
          </w:p>
        </w:tc>
        <w:tc>
          <w:tcPr>
            <w:tcW w:w="4855" w:type="dxa"/>
          </w:tcPr>
          <w:p w:rsidR="00362278" w:rsidRDefault="00362278" w:rsidP="00462E1A">
            <w:r>
              <w:t>Conserved aging pathways</w:t>
            </w:r>
          </w:p>
        </w:tc>
      </w:tr>
      <w:tr w:rsidR="00362278" w:rsidTr="00462E1A">
        <w:trPr>
          <w:trHeight w:val="314"/>
        </w:trPr>
        <w:tc>
          <w:tcPr>
            <w:tcW w:w="1165" w:type="dxa"/>
          </w:tcPr>
          <w:p w:rsidR="00362278" w:rsidRDefault="00362278" w:rsidP="00462E1A">
            <w:r>
              <w:t>3</w:t>
            </w:r>
          </w:p>
        </w:tc>
        <w:tc>
          <w:tcPr>
            <w:tcW w:w="3330" w:type="dxa"/>
          </w:tcPr>
          <w:p w:rsidR="00362278" w:rsidRDefault="00362278" w:rsidP="00462E1A">
            <w:r w:rsidRPr="00B715F8">
              <w:t>Journal club</w:t>
            </w:r>
          </w:p>
        </w:tc>
        <w:tc>
          <w:tcPr>
            <w:tcW w:w="4855" w:type="dxa"/>
          </w:tcPr>
          <w:p w:rsidR="00362278" w:rsidRPr="00DA268A" w:rsidRDefault="00362278" w:rsidP="00462E1A">
            <w:r>
              <w:t xml:space="preserve">Animal models: </w:t>
            </w:r>
            <w:r w:rsidRPr="00A96762">
              <w:rPr>
                <w:i/>
              </w:rPr>
              <w:t xml:space="preserve">C. </w:t>
            </w:r>
            <w:proofErr w:type="spellStart"/>
            <w:r>
              <w:rPr>
                <w:i/>
              </w:rPr>
              <w:t>elegans</w:t>
            </w:r>
            <w:proofErr w:type="spellEnd"/>
            <w:r>
              <w:rPr>
                <w:i/>
              </w:rPr>
              <w:t xml:space="preserve"> </w:t>
            </w:r>
            <w:r w:rsidRPr="00DA268A">
              <w:t>[Dev. &amp; Aging]</w:t>
            </w:r>
          </w:p>
        </w:tc>
      </w:tr>
      <w:tr w:rsidR="00362278" w:rsidTr="00462E1A">
        <w:tc>
          <w:tcPr>
            <w:tcW w:w="1165" w:type="dxa"/>
          </w:tcPr>
          <w:p w:rsidR="00362278" w:rsidRDefault="00362278" w:rsidP="00462E1A">
            <w:r>
              <w:t>4</w:t>
            </w:r>
          </w:p>
        </w:tc>
        <w:tc>
          <w:tcPr>
            <w:tcW w:w="3330" w:type="dxa"/>
          </w:tcPr>
          <w:p w:rsidR="00362278" w:rsidRDefault="00362278" w:rsidP="00462E1A">
            <w:r w:rsidRPr="00B715F8">
              <w:t>Journal club</w:t>
            </w:r>
          </w:p>
        </w:tc>
        <w:tc>
          <w:tcPr>
            <w:tcW w:w="4855" w:type="dxa"/>
          </w:tcPr>
          <w:p w:rsidR="00362278" w:rsidRDefault="00362278" w:rsidP="00462E1A">
            <w:r>
              <w:t>Animal models: mice</w:t>
            </w:r>
          </w:p>
        </w:tc>
      </w:tr>
      <w:tr w:rsidR="00362278" w:rsidTr="00462E1A">
        <w:tc>
          <w:tcPr>
            <w:tcW w:w="1165" w:type="dxa"/>
          </w:tcPr>
          <w:p w:rsidR="00362278" w:rsidRDefault="00362278" w:rsidP="00462E1A">
            <w:r>
              <w:t>5</w:t>
            </w:r>
          </w:p>
        </w:tc>
        <w:tc>
          <w:tcPr>
            <w:tcW w:w="3330" w:type="dxa"/>
          </w:tcPr>
          <w:p w:rsidR="00362278" w:rsidRDefault="00362278" w:rsidP="00462E1A">
            <w:r w:rsidRPr="00B715F8">
              <w:t>Journal club</w:t>
            </w:r>
          </w:p>
        </w:tc>
        <w:tc>
          <w:tcPr>
            <w:tcW w:w="4855" w:type="dxa"/>
          </w:tcPr>
          <w:p w:rsidR="00362278" w:rsidRDefault="00362278" w:rsidP="00462E1A">
            <w:r>
              <w:t>Animal models: emerging models</w:t>
            </w:r>
          </w:p>
        </w:tc>
      </w:tr>
      <w:tr w:rsidR="00362278" w:rsidTr="00462E1A">
        <w:tc>
          <w:tcPr>
            <w:tcW w:w="1165" w:type="dxa"/>
          </w:tcPr>
          <w:p w:rsidR="00362278" w:rsidRDefault="00362278" w:rsidP="00462E1A">
            <w:r>
              <w:t>6</w:t>
            </w:r>
          </w:p>
        </w:tc>
        <w:tc>
          <w:tcPr>
            <w:tcW w:w="3330" w:type="dxa"/>
          </w:tcPr>
          <w:p w:rsidR="00362278" w:rsidRDefault="00362278" w:rsidP="00462E1A">
            <w:r w:rsidRPr="00B715F8">
              <w:t>Journal club</w:t>
            </w:r>
          </w:p>
        </w:tc>
        <w:tc>
          <w:tcPr>
            <w:tcW w:w="4855" w:type="dxa"/>
          </w:tcPr>
          <w:p w:rsidR="00362278" w:rsidRDefault="00362278" w:rsidP="00462E1A">
            <w:r>
              <w:t>Adaptive responses</w:t>
            </w:r>
          </w:p>
        </w:tc>
      </w:tr>
      <w:tr w:rsidR="00362278" w:rsidTr="00462E1A">
        <w:trPr>
          <w:trHeight w:val="314"/>
        </w:trPr>
        <w:tc>
          <w:tcPr>
            <w:tcW w:w="1165" w:type="dxa"/>
          </w:tcPr>
          <w:p w:rsidR="00362278" w:rsidRDefault="00362278" w:rsidP="00462E1A">
            <w:r>
              <w:t>7</w:t>
            </w:r>
          </w:p>
        </w:tc>
        <w:tc>
          <w:tcPr>
            <w:tcW w:w="3330" w:type="dxa"/>
          </w:tcPr>
          <w:p w:rsidR="00362278" w:rsidRDefault="00362278" w:rsidP="00462E1A">
            <w:r w:rsidRPr="00B715F8">
              <w:t>Journal club</w:t>
            </w:r>
          </w:p>
        </w:tc>
        <w:tc>
          <w:tcPr>
            <w:tcW w:w="4855" w:type="dxa"/>
          </w:tcPr>
          <w:p w:rsidR="00362278" w:rsidRDefault="00362278" w:rsidP="00462E1A">
            <w:r>
              <w:t>Cellular senescence</w:t>
            </w:r>
          </w:p>
        </w:tc>
      </w:tr>
      <w:tr w:rsidR="00362278" w:rsidTr="00462E1A">
        <w:tc>
          <w:tcPr>
            <w:tcW w:w="1165" w:type="dxa"/>
          </w:tcPr>
          <w:p w:rsidR="00362278" w:rsidRDefault="00362278" w:rsidP="00462E1A">
            <w:r>
              <w:t>8</w:t>
            </w:r>
          </w:p>
        </w:tc>
        <w:tc>
          <w:tcPr>
            <w:tcW w:w="3330" w:type="dxa"/>
          </w:tcPr>
          <w:p w:rsidR="00362278" w:rsidRDefault="00362278" w:rsidP="00462E1A">
            <w:r w:rsidRPr="00B715F8">
              <w:t>Journal club</w:t>
            </w:r>
          </w:p>
        </w:tc>
        <w:tc>
          <w:tcPr>
            <w:tcW w:w="4855" w:type="dxa"/>
          </w:tcPr>
          <w:p w:rsidR="00362278" w:rsidRDefault="00362278" w:rsidP="00462E1A">
            <w:r>
              <w:t>Genetic instability</w:t>
            </w:r>
          </w:p>
        </w:tc>
      </w:tr>
      <w:tr w:rsidR="00362278" w:rsidTr="00462E1A">
        <w:tc>
          <w:tcPr>
            <w:tcW w:w="1165" w:type="dxa"/>
          </w:tcPr>
          <w:p w:rsidR="00362278" w:rsidRDefault="00362278" w:rsidP="00462E1A">
            <w:r>
              <w:t>9</w:t>
            </w:r>
          </w:p>
        </w:tc>
        <w:tc>
          <w:tcPr>
            <w:tcW w:w="3330" w:type="dxa"/>
          </w:tcPr>
          <w:p w:rsidR="00362278" w:rsidRDefault="00362278" w:rsidP="00462E1A">
            <w:r w:rsidRPr="00B715F8">
              <w:t>Journal club</w:t>
            </w:r>
          </w:p>
        </w:tc>
        <w:tc>
          <w:tcPr>
            <w:tcW w:w="4855" w:type="dxa"/>
          </w:tcPr>
          <w:p w:rsidR="00362278" w:rsidRDefault="00362278" w:rsidP="00462E1A">
            <w:r>
              <w:t>Dietary restriction and intervention studies</w:t>
            </w:r>
          </w:p>
        </w:tc>
      </w:tr>
      <w:tr w:rsidR="00362278" w:rsidTr="00462E1A">
        <w:tc>
          <w:tcPr>
            <w:tcW w:w="1165" w:type="dxa"/>
          </w:tcPr>
          <w:p w:rsidR="00362278" w:rsidRDefault="00362278" w:rsidP="00462E1A">
            <w:r>
              <w:t>10</w:t>
            </w:r>
          </w:p>
        </w:tc>
        <w:tc>
          <w:tcPr>
            <w:tcW w:w="3330" w:type="dxa"/>
          </w:tcPr>
          <w:p w:rsidR="00362278" w:rsidRDefault="00362278" w:rsidP="00462E1A">
            <w:r w:rsidRPr="00B715F8">
              <w:t>Journal club</w:t>
            </w:r>
          </w:p>
        </w:tc>
        <w:tc>
          <w:tcPr>
            <w:tcW w:w="4855" w:type="dxa"/>
          </w:tcPr>
          <w:p w:rsidR="00362278" w:rsidRDefault="00362278" w:rsidP="00462E1A">
            <w:r>
              <w:t>Therapeutic applications for healthy aging</w:t>
            </w:r>
          </w:p>
        </w:tc>
      </w:tr>
    </w:tbl>
    <w:p w:rsidR="001E7147" w:rsidRDefault="001E7147" w:rsidP="0050232B"/>
    <w:p w:rsidR="006B04B2" w:rsidRDefault="006B04B2" w:rsidP="0050232B"/>
    <w:p w:rsidR="001E7147" w:rsidRDefault="001E7147" w:rsidP="001E7147">
      <w:pPr>
        <w:widowControl w:val="0"/>
        <w:autoSpaceDE w:val="0"/>
        <w:autoSpaceDN w:val="0"/>
        <w:adjustRightInd w:val="0"/>
        <w:rPr>
          <w:rFonts w:ascii="Arial" w:hAnsi="Arial" w:cs="Arial"/>
          <w:sz w:val="26"/>
          <w:szCs w:val="26"/>
        </w:rPr>
      </w:pPr>
      <w:r w:rsidRPr="00F3719E">
        <w:rPr>
          <w:b/>
        </w:rPr>
        <w:t>Course Schedule Disclaimer</w:t>
      </w:r>
      <w:r>
        <w:rPr>
          <w:b/>
        </w:rPr>
        <w:t xml:space="preserve"> (Disruption Clause)</w:t>
      </w:r>
      <w:r w:rsidRPr="00F3719E">
        <w:rPr>
          <w:b/>
        </w:rPr>
        <w:t>:</w:t>
      </w:r>
      <w:r w:rsidRPr="00F3719E">
        <w:rPr>
          <w:rFonts w:ascii="Arial" w:hAnsi="Arial" w:cs="Arial"/>
          <w:sz w:val="26"/>
          <w:szCs w:val="26"/>
        </w:rPr>
        <w:t xml:space="preserve"> </w:t>
      </w:r>
      <w:r>
        <w:rPr>
          <w:rFonts w:ascii="Arial" w:hAnsi="Arial" w:cs="Arial"/>
          <w:sz w:val="26"/>
          <w:szCs w:val="26"/>
        </w:rPr>
        <w:t>In the event of an extended disruption of normal classroom activities, the format for this course may be modified to enable its completion within its programmed time frame. In that event, you will be provided an addendum to the syllabus that will supersede this version.</w:t>
      </w:r>
    </w:p>
    <w:p w:rsidR="001E7147" w:rsidRDefault="001E7147" w:rsidP="0050232B"/>
    <w:p w:rsidR="001E7147" w:rsidRDefault="001E7147" w:rsidP="0050232B"/>
    <w:p w:rsidR="001E7147" w:rsidRDefault="001E7147" w:rsidP="001E7147">
      <w:r w:rsidRPr="00F3719E">
        <w:rPr>
          <w:b/>
        </w:rPr>
        <w:t>Academic Honesty Statement:</w:t>
      </w:r>
      <w:r>
        <w:t xml:space="preserve"> </w:t>
      </w:r>
      <w:r w:rsidRPr="00F3719E">
        <w:t>Academic honesty</w:t>
      </w:r>
      <w:r w:rsidRPr="00F356E3">
        <w:t xml:space="preserve"> is very important. It is dishonest to cheat on exams, to copy term papers, to submit papers written by another person, to fake experimental results, or to copy or reword parts of books or articles into your own papers without appropriately citing the source.  Students committing or aiding in any of these violations may be given failing grades for an assignment or for an entire course, at the discretion of the instructor.  In addition to any academic action taken by an instructor, these violations are also subject to action under the University of Maine Student Conduct Code.  The maximum possible sanction under the student conduct code is dismissal from the University.</w:t>
      </w:r>
    </w:p>
    <w:p w:rsidR="001E7147" w:rsidRDefault="001E7147" w:rsidP="001E7147"/>
    <w:p w:rsidR="001E7147" w:rsidRDefault="001E7147" w:rsidP="001E7147">
      <w:r w:rsidRPr="00F3719E">
        <w:rPr>
          <w:b/>
        </w:rPr>
        <w:t>Students with disabilities statement:</w:t>
      </w:r>
      <w:r>
        <w:t xml:space="preserve"> If you have a disability for which you may be requesting an accommodation, please contact Ann Smith, Director of Disabilities Services, 121 </w:t>
      </w:r>
      <w:proofErr w:type="gramStart"/>
      <w:r>
        <w:t>East</w:t>
      </w:r>
      <w:proofErr w:type="gramEnd"/>
      <w:r>
        <w:t xml:space="preserve"> Annex, 581-2319, as early as possible in the term.  </w:t>
      </w:r>
    </w:p>
    <w:p w:rsidR="001E7147" w:rsidRDefault="001E7147" w:rsidP="0050232B"/>
    <w:p w:rsidR="0050232B" w:rsidRPr="001D419E" w:rsidRDefault="0050232B" w:rsidP="0050232B">
      <w:pPr>
        <w:rPr>
          <w:b/>
        </w:rPr>
      </w:pPr>
      <w:r>
        <w:rPr>
          <w:b/>
        </w:rPr>
        <w:lastRenderedPageBreak/>
        <w:t>Sexual Discrimination Reporting</w:t>
      </w:r>
    </w:p>
    <w:p w:rsidR="0050232B" w:rsidRDefault="0050232B" w:rsidP="0050232B">
      <w:r w:rsidRPr="002755C2">
        <w:t xml:space="preserve">The University of Maine is committed to making campus </w:t>
      </w:r>
      <w:r>
        <w:t xml:space="preserve">a </w:t>
      </w:r>
      <w:r w:rsidRPr="002755C2">
        <w:t xml:space="preserve">safe </w:t>
      </w:r>
      <w:r>
        <w:t xml:space="preserve">place for </w:t>
      </w:r>
      <w:r w:rsidRPr="002755C2">
        <w:t>students. Because of this commitment,</w:t>
      </w:r>
      <w:r>
        <w:t xml:space="preserve"> if you tell a teacher about an experience of </w:t>
      </w:r>
      <w:r w:rsidRPr="005E4DA5">
        <w:rPr>
          <w:b/>
        </w:rPr>
        <w:t>sexual assault, sexual harassment, stalking, relationship abuse</w:t>
      </w:r>
      <w:r>
        <w:rPr>
          <w:b/>
        </w:rPr>
        <w:t xml:space="preserve"> (dating violence and domestic violence), sexual misconduct or any form of gender discrimination</w:t>
      </w:r>
      <w:r>
        <w:t xml:space="preserve"> involving members of the campus, </w:t>
      </w:r>
      <w:r w:rsidRPr="003A36BF">
        <w:rPr>
          <w:b/>
        </w:rPr>
        <w:t>your teacher is required to report</w:t>
      </w:r>
      <w:r w:rsidRPr="002755C2">
        <w:t xml:space="preserve"> </w:t>
      </w:r>
      <w:r>
        <w:t xml:space="preserve">this information </w:t>
      </w:r>
      <w:r w:rsidRPr="007B0E8F">
        <w:t xml:space="preserve">to the </w:t>
      </w:r>
      <w:r>
        <w:t xml:space="preserve">campus </w:t>
      </w:r>
      <w:r w:rsidRPr="007B0E8F">
        <w:t xml:space="preserve">Office of Sexual Assault &amp; Violence Prevention or </w:t>
      </w:r>
      <w:r>
        <w:t>the Office of Equal Opportunity.</w:t>
      </w:r>
    </w:p>
    <w:p w:rsidR="0050232B" w:rsidRPr="003A36BF" w:rsidRDefault="0050232B" w:rsidP="0050232B">
      <w:pPr>
        <w:ind w:left="720"/>
        <w:rPr>
          <w:i/>
        </w:rPr>
      </w:pPr>
    </w:p>
    <w:p w:rsidR="0050232B" w:rsidRDefault="0050232B" w:rsidP="0050232B">
      <w:pPr>
        <w:ind w:left="720"/>
      </w:pPr>
      <w:r w:rsidRPr="001D419E">
        <w:rPr>
          <w:b/>
        </w:rPr>
        <w:t xml:space="preserve">If </w:t>
      </w:r>
      <w:r>
        <w:rPr>
          <w:b/>
        </w:rPr>
        <w:t>you</w:t>
      </w:r>
      <w:r w:rsidRPr="001D419E">
        <w:rPr>
          <w:b/>
        </w:rPr>
        <w:t xml:space="preserve"> want to talk</w:t>
      </w:r>
      <w:r>
        <w:t xml:space="preserve"> </w:t>
      </w:r>
      <w:r w:rsidRPr="00F57698">
        <w:rPr>
          <w:b/>
        </w:rPr>
        <w:t>in confidence</w:t>
      </w:r>
      <w:r>
        <w:t xml:space="preserve"> to someone about an experience of sexual discrimination, please contact these resources:</w:t>
      </w:r>
    </w:p>
    <w:p w:rsidR="0050232B" w:rsidRDefault="0050232B" w:rsidP="0050232B">
      <w:pPr>
        <w:ind w:left="720"/>
      </w:pPr>
    </w:p>
    <w:p w:rsidR="0050232B" w:rsidRDefault="0050232B" w:rsidP="0050232B">
      <w:pPr>
        <w:ind w:left="720"/>
      </w:pPr>
      <w:r>
        <w:t xml:space="preserve">For </w:t>
      </w:r>
      <w:r w:rsidRPr="001560E2">
        <w:rPr>
          <w:i/>
        </w:rPr>
        <w:t>confidential resources on campus</w:t>
      </w:r>
      <w:r>
        <w:t xml:space="preserve">: </w:t>
      </w:r>
      <w:r w:rsidRPr="001560E2">
        <w:rPr>
          <w:b/>
        </w:rPr>
        <w:t xml:space="preserve">Counseling </w:t>
      </w:r>
      <w:r>
        <w:rPr>
          <w:b/>
        </w:rPr>
        <w:t>Center:</w:t>
      </w:r>
      <w:r w:rsidRPr="001560E2">
        <w:rPr>
          <w:b/>
        </w:rPr>
        <w:t xml:space="preserve"> 207-581-1392</w:t>
      </w:r>
      <w:r>
        <w:t xml:space="preserve"> or </w:t>
      </w:r>
      <w:r>
        <w:rPr>
          <w:b/>
        </w:rPr>
        <w:t>Cu</w:t>
      </w:r>
      <w:r w:rsidRPr="001560E2">
        <w:rPr>
          <w:b/>
        </w:rPr>
        <w:t>t</w:t>
      </w:r>
      <w:r>
        <w:rPr>
          <w:b/>
        </w:rPr>
        <w:t>l</w:t>
      </w:r>
      <w:r w:rsidRPr="001560E2">
        <w:rPr>
          <w:b/>
        </w:rPr>
        <w:t>er Health Center</w:t>
      </w:r>
      <w:r>
        <w:rPr>
          <w:b/>
        </w:rPr>
        <w:t>:</w:t>
      </w:r>
      <w:r w:rsidRPr="001560E2">
        <w:rPr>
          <w:b/>
        </w:rPr>
        <w:t xml:space="preserve"> at 207-581-4000</w:t>
      </w:r>
      <w:r>
        <w:t xml:space="preserve">. </w:t>
      </w:r>
    </w:p>
    <w:p w:rsidR="0050232B" w:rsidRDefault="0050232B" w:rsidP="0050232B">
      <w:pPr>
        <w:ind w:left="720"/>
      </w:pPr>
      <w:r>
        <w:t xml:space="preserve">For </w:t>
      </w:r>
      <w:r w:rsidRPr="001560E2">
        <w:rPr>
          <w:i/>
        </w:rPr>
        <w:t>confidential resources off campus</w:t>
      </w:r>
      <w:r>
        <w:t xml:space="preserve">:  </w:t>
      </w:r>
      <w:r w:rsidRPr="001560E2">
        <w:rPr>
          <w:b/>
        </w:rPr>
        <w:t xml:space="preserve">Rape Response Services: </w:t>
      </w:r>
      <w:r>
        <w:t xml:space="preserve">1-800-310-0000 or </w:t>
      </w:r>
      <w:r w:rsidRPr="001560E2">
        <w:rPr>
          <w:b/>
        </w:rPr>
        <w:t>Spruce Run</w:t>
      </w:r>
      <w:r>
        <w:t xml:space="preserve">: 1-800-863-9909. </w:t>
      </w:r>
    </w:p>
    <w:p w:rsidR="0050232B" w:rsidRDefault="0050232B" w:rsidP="0050232B">
      <w:pPr>
        <w:ind w:left="720"/>
      </w:pPr>
    </w:p>
    <w:p w:rsidR="0050232B" w:rsidRDefault="0050232B" w:rsidP="0050232B">
      <w:pPr>
        <w:ind w:left="720"/>
      </w:pPr>
      <w:r>
        <w:rPr>
          <w:b/>
        </w:rPr>
        <w:t xml:space="preserve">Other resources:  </w:t>
      </w:r>
      <w:r>
        <w:t>The resources listed below can offer support but may have to report the incident to others who can help:</w:t>
      </w:r>
    </w:p>
    <w:p w:rsidR="0050232B" w:rsidRDefault="0050232B" w:rsidP="0050232B">
      <w:pPr>
        <w:ind w:left="720"/>
      </w:pPr>
    </w:p>
    <w:p w:rsidR="0050232B" w:rsidRDefault="0050232B" w:rsidP="0050232B">
      <w:pPr>
        <w:ind w:left="720"/>
      </w:pPr>
      <w:r>
        <w:t xml:space="preserve">For </w:t>
      </w:r>
      <w:r w:rsidRPr="00520B03">
        <w:rPr>
          <w:i/>
        </w:rPr>
        <w:t>support services on campus</w:t>
      </w:r>
      <w:r>
        <w:t xml:space="preserve">: </w:t>
      </w:r>
      <w:r w:rsidRPr="00520B03">
        <w:rPr>
          <w:b/>
        </w:rPr>
        <w:t>Office of Sexual Assault &amp; Violence Prevention: 207-581-1406</w:t>
      </w:r>
      <w:r>
        <w:t xml:space="preserve">, </w:t>
      </w:r>
      <w:r w:rsidRPr="00520B03">
        <w:rPr>
          <w:b/>
        </w:rPr>
        <w:t>Office of Community Standards: 207-581-1409</w:t>
      </w:r>
      <w:r>
        <w:t xml:space="preserve">, </w:t>
      </w:r>
      <w:r w:rsidRPr="00520B03">
        <w:rPr>
          <w:b/>
        </w:rPr>
        <w:t>University of Maine Police: 207-581-4040 or 911</w:t>
      </w:r>
      <w:r>
        <w:t xml:space="preserve">. Or see the OSAVP website for a complete list of services at </w:t>
      </w:r>
      <w:hyperlink r:id="rId7" w:history="1">
        <w:r w:rsidRPr="00EE5118">
          <w:rPr>
            <w:rStyle w:val="Hyperlink"/>
          </w:rPr>
          <w:t>http://www.umaine.edu/osavp/</w:t>
        </w:r>
      </w:hyperlink>
      <w:r>
        <w:t xml:space="preserve">  </w:t>
      </w:r>
    </w:p>
    <w:p w:rsidR="0050232B" w:rsidRDefault="0050232B" w:rsidP="0050232B"/>
    <w:p w:rsidR="00D33D95" w:rsidRDefault="00D33D95"/>
    <w:sectPr w:rsidR="00D33D9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75" w:rsidRDefault="00835775">
      <w:r>
        <w:separator/>
      </w:r>
    </w:p>
  </w:endnote>
  <w:endnote w:type="continuationSeparator" w:id="0">
    <w:p w:rsidR="00835775" w:rsidRDefault="0083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835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1E7147">
    <w:pPr>
      <w:pStyle w:val="Footer"/>
      <w:jc w:val="center"/>
    </w:pPr>
    <w:r>
      <w:fldChar w:fldCharType="begin"/>
    </w:r>
    <w:r>
      <w:instrText xml:space="preserve"> PAGE   \* MERGEFORMAT </w:instrText>
    </w:r>
    <w:r>
      <w:fldChar w:fldCharType="separate"/>
    </w:r>
    <w:r w:rsidR="00362278">
      <w:rPr>
        <w:noProof/>
      </w:rPr>
      <w:t>2</w:t>
    </w:r>
    <w:r>
      <w:fldChar w:fldCharType="end"/>
    </w:r>
  </w:p>
  <w:p w:rsidR="00604A17" w:rsidRDefault="00835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835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75" w:rsidRDefault="00835775">
      <w:r>
        <w:separator/>
      </w:r>
    </w:p>
  </w:footnote>
  <w:footnote w:type="continuationSeparator" w:id="0">
    <w:p w:rsidR="00835775" w:rsidRDefault="0083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835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835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17" w:rsidRDefault="00835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77CA"/>
    <w:multiLevelType w:val="hybridMultilevel"/>
    <w:tmpl w:val="C274790C"/>
    <w:lvl w:ilvl="0" w:tplc="D46CA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4103F"/>
    <w:multiLevelType w:val="hybridMultilevel"/>
    <w:tmpl w:val="CB5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E7825"/>
    <w:multiLevelType w:val="hybridMultilevel"/>
    <w:tmpl w:val="C274790C"/>
    <w:lvl w:ilvl="0" w:tplc="D46CA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2B"/>
    <w:rsid w:val="001409D6"/>
    <w:rsid w:val="001E7147"/>
    <w:rsid w:val="00362278"/>
    <w:rsid w:val="0038588B"/>
    <w:rsid w:val="004A6F4C"/>
    <w:rsid w:val="0050232B"/>
    <w:rsid w:val="006B04B2"/>
    <w:rsid w:val="00835775"/>
    <w:rsid w:val="009A3619"/>
    <w:rsid w:val="00B63220"/>
    <w:rsid w:val="00D33D95"/>
    <w:rsid w:val="00DB4BDF"/>
    <w:rsid w:val="00DD4002"/>
    <w:rsid w:val="00FB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F924B-1861-42C5-8388-EBEEA0A9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2B"/>
    <w:pPr>
      <w:spacing w:after="0" w:line="240" w:lineRule="auto"/>
    </w:pPr>
    <w:rPr>
      <w:rFonts w:ascii="Verdana" w:eastAsia="Verdana" w:hAnsi="Verdan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588B"/>
    <w:rPr>
      <w:rFonts w:asciiTheme="majorHAnsi" w:eastAsiaTheme="majorEastAsia" w:hAnsiTheme="majorHAnsi" w:cstheme="majorBidi"/>
    </w:rPr>
  </w:style>
  <w:style w:type="character" w:styleId="Hyperlink">
    <w:name w:val="Hyperlink"/>
    <w:rsid w:val="0050232B"/>
    <w:rPr>
      <w:color w:val="0000FF"/>
      <w:u w:val="single"/>
    </w:rPr>
  </w:style>
  <w:style w:type="paragraph" w:styleId="Header">
    <w:name w:val="header"/>
    <w:basedOn w:val="Normal"/>
    <w:link w:val="HeaderChar"/>
    <w:rsid w:val="0050232B"/>
    <w:pPr>
      <w:tabs>
        <w:tab w:val="center" w:pos="4680"/>
        <w:tab w:val="right" w:pos="9360"/>
      </w:tabs>
    </w:pPr>
  </w:style>
  <w:style w:type="character" w:customStyle="1" w:styleId="HeaderChar">
    <w:name w:val="Header Char"/>
    <w:basedOn w:val="DefaultParagraphFont"/>
    <w:link w:val="Header"/>
    <w:rsid w:val="0050232B"/>
    <w:rPr>
      <w:rFonts w:ascii="Verdana" w:eastAsia="Verdana" w:hAnsi="Verdana" w:cs="Times New Roman"/>
      <w:sz w:val="24"/>
      <w:szCs w:val="20"/>
    </w:rPr>
  </w:style>
  <w:style w:type="paragraph" w:styleId="Footer">
    <w:name w:val="footer"/>
    <w:basedOn w:val="Normal"/>
    <w:link w:val="FooterChar"/>
    <w:uiPriority w:val="99"/>
    <w:rsid w:val="0050232B"/>
    <w:pPr>
      <w:tabs>
        <w:tab w:val="center" w:pos="4680"/>
        <w:tab w:val="right" w:pos="9360"/>
      </w:tabs>
    </w:pPr>
  </w:style>
  <w:style w:type="character" w:customStyle="1" w:styleId="FooterChar">
    <w:name w:val="Footer Char"/>
    <w:basedOn w:val="DefaultParagraphFont"/>
    <w:link w:val="Footer"/>
    <w:uiPriority w:val="99"/>
    <w:rsid w:val="0050232B"/>
    <w:rPr>
      <w:rFonts w:ascii="Verdana" w:eastAsia="Verdana" w:hAnsi="Verdana" w:cs="Times New Roman"/>
      <w:sz w:val="24"/>
      <w:szCs w:val="20"/>
    </w:rPr>
  </w:style>
  <w:style w:type="table" w:styleId="TableGrid">
    <w:name w:val="Table Grid"/>
    <w:basedOn w:val="TableNormal"/>
    <w:uiPriority w:val="39"/>
    <w:rsid w:val="0014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F4C"/>
    <w:rPr>
      <w:rFonts w:ascii="Tahoma" w:hAnsi="Tahoma" w:cs="Tahoma"/>
      <w:sz w:val="16"/>
      <w:szCs w:val="16"/>
    </w:rPr>
  </w:style>
  <w:style w:type="character" w:customStyle="1" w:styleId="BalloonTextChar">
    <w:name w:val="Balloon Text Char"/>
    <w:basedOn w:val="DefaultParagraphFont"/>
    <w:link w:val="BalloonText"/>
    <w:uiPriority w:val="99"/>
    <w:semiHidden/>
    <w:rsid w:val="004A6F4C"/>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maine.edu/osav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tammy crosby</cp:lastModifiedBy>
  <cp:revision>3</cp:revision>
  <dcterms:created xsi:type="dcterms:W3CDTF">2017-07-12T12:55:00Z</dcterms:created>
  <dcterms:modified xsi:type="dcterms:W3CDTF">2017-07-12T13:54:00Z</dcterms:modified>
</cp:coreProperties>
</file>